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64B6" w14:textId="4A71E1D0" w:rsidR="00E733D2" w:rsidRDefault="00B66AFF">
      <w:pPr>
        <w:spacing w:after="0" w:line="259" w:lineRule="auto"/>
        <w:ind w:left="0" w:firstLine="0"/>
      </w:pPr>
      <w:r>
        <w:rPr>
          <w:color w:val="2E74B5"/>
          <w:sz w:val="32"/>
        </w:rPr>
        <w:t xml:space="preserve">Geestelijke verzorging </w:t>
      </w:r>
      <w:r w:rsidR="004C2EAA">
        <w:rPr>
          <w:color w:val="2E74B5"/>
          <w:sz w:val="32"/>
        </w:rPr>
        <w:t xml:space="preserve">thuis </w:t>
      </w:r>
      <w:r>
        <w:rPr>
          <w:color w:val="2E74B5"/>
          <w:sz w:val="32"/>
        </w:rPr>
        <w:t xml:space="preserve">en de wet </w:t>
      </w:r>
    </w:p>
    <w:p w14:paraId="76E37D3F" w14:textId="77777777" w:rsidR="00E733D2" w:rsidRDefault="00B66AFF">
      <w:pPr>
        <w:spacing w:after="0" w:line="259" w:lineRule="auto"/>
        <w:ind w:left="0" w:firstLine="0"/>
      </w:pPr>
      <w:r>
        <w:rPr>
          <w:color w:val="2E74B5"/>
          <w:sz w:val="26"/>
        </w:rPr>
        <w:t xml:space="preserve"> </w:t>
      </w:r>
    </w:p>
    <w:p w14:paraId="1048BFA5" w14:textId="77777777" w:rsidR="00E733D2" w:rsidRDefault="00B66AFF">
      <w:pPr>
        <w:pStyle w:val="Kop1"/>
        <w:ind w:left="-5"/>
      </w:pPr>
      <w:r>
        <w:t xml:space="preserve">Grondwet </w:t>
      </w:r>
    </w:p>
    <w:p w14:paraId="3742B241" w14:textId="56853A39" w:rsidR="00E733D2" w:rsidRDefault="007C6F3D" w:rsidP="007C6F3D">
      <w:pPr>
        <w:ind w:left="-5"/>
      </w:pPr>
      <w:r>
        <w:t xml:space="preserve">In artikel 6 van de </w:t>
      </w:r>
      <w:hyperlink r:id="rId5" w:history="1">
        <w:r w:rsidRPr="00111625">
          <w:rPr>
            <w:rStyle w:val="Hyperlink"/>
          </w:rPr>
          <w:t>Grondwet</w:t>
        </w:r>
      </w:hyperlink>
      <w:r>
        <w:t xml:space="preserve"> is het recht op vrijheid van godsdienst en levensovertuiging vastgelegd. Daaruit vloeit voort het recht op vrije toegang tot geestelijke zorg. </w:t>
      </w:r>
      <w:r w:rsidR="00B66AFF">
        <w:t>Daaruit voort het recht op vrije toegang tot geestelijke zorg</w:t>
      </w:r>
      <w:r>
        <w:t xml:space="preserve"> voort</w:t>
      </w:r>
      <w:r w:rsidR="00B66AFF">
        <w:t xml:space="preserve">. Deze vrijheid van godsdienst en levensovertuiging speelt zich af in het publieke domein. (Zie ook Schilderman, Religie en zorg in het publieke domein, in: Van der Donk c.s., </w:t>
      </w:r>
      <w:hyperlink r:id="rId6" w:history="1">
        <w:r w:rsidR="00B66AFF" w:rsidRPr="007C6F3D">
          <w:rPr>
            <w:rStyle w:val="Hyperlink"/>
          </w:rPr>
          <w:t>Geloven in het publieke domein</w:t>
        </w:r>
      </w:hyperlink>
      <w:r w:rsidR="00B66AFF">
        <w:t>, WRR, 2006, p. 385-416</w:t>
      </w:r>
      <w:r>
        <w:t>. I</w:t>
      </w:r>
      <w:r w:rsidR="00B66AFF">
        <w:t>n dit publieke domein is de geestelijke verzorging in de eerste lijn in verschillende vormen in o</w:t>
      </w:r>
      <w:r>
        <w:t>ntwikkeling, mede door een subsidieregeling van VWS die nog tot en met 2026 doorloopt</w:t>
      </w:r>
      <w:r w:rsidR="00B66AFF">
        <w:t xml:space="preserve">. De grondslag voor deze vormen van geestelijke verzorging ligt net als bij de geestelijke verzorging in zorginstellingen, in de krijgsmacht en in penitentiaire inrichtingen in artikel 6 van de Grondwet. </w:t>
      </w:r>
    </w:p>
    <w:p w14:paraId="14BD43A1" w14:textId="7815A7FC" w:rsidR="00E733D2" w:rsidRDefault="00B66AFF">
      <w:pPr>
        <w:spacing w:after="30"/>
        <w:ind w:left="-5"/>
      </w:pPr>
      <w:r>
        <w:t xml:space="preserve">Het gegeven dat het recht op vrije toegang tot geestelijke zorg niet beperkt mag worden door toestemming of indicatie van een derde, noemen we de vrijplaats. Zie verder de </w:t>
      </w:r>
      <w:hyperlink r:id="rId7" w:history="1">
        <w:r w:rsidR="007C6F3D">
          <w:rPr>
            <w:rStyle w:val="Hyperlink"/>
          </w:rPr>
          <w:t>B</w:t>
        </w:r>
        <w:r w:rsidRPr="007C6F3D">
          <w:rPr>
            <w:rStyle w:val="Hyperlink"/>
          </w:rPr>
          <w:t>eroepsstandaard</w:t>
        </w:r>
      </w:hyperlink>
      <w:r w:rsidR="007C6F3D">
        <w:t xml:space="preserve"> </w:t>
      </w:r>
      <w:r>
        <w:t xml:space="preserve"> voor de omschrijving van de vrijplaats. </w:t>
      </w:r>
    </w:p>
    <w:p w14:paraId="3BD84411" w14:textId="77777777" w:rsidR="00E733D2" w:rsidRDefault="00B66AFF">
      <w:pPr>
        <w:spacing w:after="0" w:line="259" w:lineRule="auto"/>
        <w:ind w:left="0" w:firstLine="0"/>
      </w:pPr>
      <w:r>
        <w:rPr>
          <w:color w:val="2E74B5"/>
          <w:sz w:val="26"/>
        </w:rPr>
        <w:t xml:space="preserve"> </w:t>
      </w:r>
    </w:p>
    <w:p w14:paraId="72B80C13" w14:textId="77777777" w:rsidR="00E733D2" w:rsidRDefault="00B66AFF">
      <w:pPr>
        <w:pStyle w:val="Kop1"/>
        <w:ind w:left="-5"/>
      </w:pPr>
      <w:r>
        <w:t xml:space="preserve">AVG en bescherming persoonsgegevens </w:t>
      </w:r>
    </w:p>
    <w:p w14:paraId="19B4352F" w14:textId="69ADC998" w:rsidR="00E733D2" w:rsidRDefault="00B66AFF">
      <w:pPr>
        <w:ind w:left="-5"/>
      </w:pPr>
      <w:r>
        <w:t xml:space="preserve">In de Uitvoeringswet </w:t>
      </w:r>
      <w:hyperlink r:id="rId8" w:history="1">
        <w:r w:rsidRPr="007C6F3D">
          <w:rPr>
            <w:rStyle w:val="Hyperlink"/>
          </w:rPr>
          <w:t>Algemene verordening gegevensbescherming</w:t>
        </w:r>
      </w:hyperlink>
      <w:r w:rsidR="007C6F3D">
        <w:t xml:space="preserve"> </w:t>
      </w:r>
      <w:r>
        <w:t>(AVG) wordt een duidelijke bescherming van persoonsgegevens beschreven. Het verwerken van o.a. religieuze en levensbeschouwelijke gegevens is niet toegestaan, zie artikel 22</w:t>
      </w:r>
      <w:r w:rsidR="007C6F3D">
        <w:t xml:space="preserve"> in Hoofdstuk 3</w:t>
      </w:r>
      <w:r>
        <w:t>, waarin expliciet vermeld is dat het niet is toegestaan om persoonsgegevens te registreren waaruit (o.a.) religieuze of levensbeschouwelijke overtuigingen blijken</w:t>
      </w:r>
      <w:r w:rsidR="007C6F3D">
        <w:t>.</w:t>
      </w:r>
      <w:r>
        <w:t xml:space="preserve"> </w:t>
      </w:r>
    </w:p>
    <w:p w14:paraId="23F297F7" w14:textId="4733C5A6" w:rsidR="00E733D2" w:rsidRDefault="00B66AFF">
      <w:pPr>
        <w:ind w:left="-5"/>
      </w:pPr>
      <w:r>
        <w:t xml:space="preserve">Geestelijk verzorgers hebben voor de uitoefening van hun werkzaamheden expliciet nodig dat religieuze en levensbeschouwelijke gegevens ter sprake komen, een rol spelen in de professionele relatie én worden geregistreerd. Dat is uitzonderlijk, en om die reden wordt er in de AVG in artikel 27 expliciet gesproken over de geestelijke verzorging die verleend wordt: </w:t>
      </w:r>
    </w:p>
    <w:p w14:paraId="356E3FC7" w14:textId="6BABE417" w:rsidR="00B66AFF" w:rsidRPr="00B66AFF" w:rsidRDefault="00B66AFF" w:rsidP="00B66AFF">
      <w:pPr>
        <w:spacing w:after="0" w:line="259" w:lineRule="auto"/>
        <w:ind w:left="0" w:firstLine="0"/>
        <w:rPr>
          <w:rFonts w:ascii="Seaford" w:eastAsia="Arial" w:hAnsi="Seaford" w:cs="Arial"/>
          <w:b/>
          <w:bCs/>
          <w:iCs/>
          <w:color w:val="333333"/>
        </w:rPr>
      </w:pPr>
      <w:r w:rsidRPr="00B66AFF">
        <w:rPr>
          <w:rFonts w:ascii="Seaford" w:eastAsia="Arial" w:hAnsi="Seaford" w:cs="Arial"/>
          <w:b/>
          <w:bCs/>
          <w:iCs/>
          <w:color w:val="333333"/>
        </w:rPr>
        <w:t xml:space="preserve">Artikel 27. Uitzonderingen inzake verwerking persoonsgegevens waaruit religieuze of levensbeschouwelijke overtuigingen blijken voor geestelijke verzorging     </w:t>
      </w:r>
    </w:p>
    <w:p w14:paraId="66013A8F" w14:textId="77777777" w:rsidR="00B66AFF" w:rsidRDefault="00B66AFF" w:rsidP="00B66AFF">
      <w:pPr>
        <w:spacing w:after="0" w:line="259" w:lineRule="auto"/>
        <w:ind w:left="0" w:firstLine="0"/>
        <w:rPr>
          <w:rFonts w:ascii="Arial" w:eastAsia="Arial" w:hAnsi="Arial" w:cs="Arial"/>
          <w:i/>
          <w:color w:val="333333"/>
        </w:rPr>
      </w:pPr>
    </w:p>
    <w:p w14:paraId="61917BB9" w14:textId="41E0BEB7" w:rsidR="00B66AFF" w:rsidRPr="00B66AFF" w:rsidRDefault="00B66AFF" w:rsidP="00B66AFF">
      <w:pPr>
        <w:spacing w:after="0" w:line="259" w:lineRule="auto"/>
        <w:ind w:left="0" w:firstLine="0"/>
        <w:rPr>
          <w:rFonts w:ascii="Seaford" w:eastAsia="Arial" w:hAnsi="Seaford" w:cs="Arial"/>
          <w:i/>
          <w:color w:val="333333"/>
        </w:rPr>
      </w:pPr>
      <w:r w:rsidRPr="00B66AFF">
        <w:rPr>
          <w:rFonts w:ascii="Seaford" w:eastAsia="Arial" w:hAnsi="Seaford" w:cs="Arial"/>
          <w:i/>
          <w:color w:val="333333"/>
        </w:rPr>
        <w:t>1 Gelet op artikel 9, tweede lid, onderdeel g, van de verordening, is het verbod om persoonsgegevens te verwerken waaruit religieuze of levensbeschouwelijke overtuigingen blijken, niet van toepassing, indien de verwerking geschiedt door andere instellingen dan de instellingen, bedoeld in artikel 22, tweede lid, onderdeel c, en voor zover de verwerking noodzakelijk is met het oog op de geestelijke verzorging van de betrokkene, tenzij deze daartegen schriftelijk bezwaar heeft gemaakt.</w:t>
      </w:r>
    </w:p>
    <w:p w14:paraId="25445E85" w14:textId="77777777" w:rsidR="00B66AFF" w:rsidRPr="00B66AFF" w:rsidRDefault="00B66AFF" w:rsidP="00B66AFF">
      <w:pPr>
        <w:spacing w:after="0" w:line="259" w:lineRule="auto"/>
        <w:ind w:left="0" w:firstLine="0"/>
        <w:rPr>
          <w:rFonts w:ascii="Seaford" w:eastAsia="Arial" w:hAnsi="Seaford" w:cs="Arial"/>
          <w:i/>
          <w:color w:val="333333"/>
        </w:rPr>
      </w:pPr>
    </w:p>
    <w:p w14:paraId="4946F2E3" w14:textId="77777777" w:rsidR="00B66AFF" w:rsidRPr="00B66AFF" w:rsidRDefault="00B66AFF" w:rsidP="00B66AFF">
      <w:pPr>
        <w:spacing w:after="0" w:line="259" w:lineRule="auto"/>
        <w:ind w:left="0" w:firstLine="0"/>
        <w:rPr>
          <w:rFonts w:ascii="Seaford" w:eastAsia="Arial" w:hAnsi="Seaford" w:cs="Arial"/>
          <w:i/>
          <w:color w:val="333333"/>
        </w:rPr>
      </w:pPr>
      <w:r w:rsidRPr="00B66AFF">
        <w:rPr>
          <w:rFonts w:ascii="Seaford" w:eastAsia="Arial" w:hAnsi="Seaford" w:cs="Arial"/>
          <w:i/>
          <w:color w:val="333333"/>
        </w:rPr>
        <w:t>2 In de gevallen, bedoeld in het eerste lid, worden geen persoonsgegevens aan derden verstrekt zonder toestemming van de betrokkene.</w:t>
      </w:r>
    </w:p>
    <w:p w14:paraId="2FADE80A" w14:textId="30A872C0" w:rsidR="00E733D2" w:rsidRDefault="00B66AFF" w:rsidP="00B66AFF">
      <w:pPr>
        <w:spacing w:after="0" w:line="259" w:lineRule="auto"/>
        <w:ind w:left="0" w:firstLine="0"/>
      </w:pPr>
      <w:r>
        <w:rPr>
          <w:color w:val="2E74B5"/>
          <w:sz w:val="26"/>
        </w:rPr>
        <w:t xml:space="preserve"> </w:t>
      </w:r>
    </w:p>
    <w:p w14:paraId="3DAB8A8B" w14:textId="77777777" w:rsidR="00E733D2" w:rsidRDefault="00B66AFF">
      <w:pPr>
        <w:pStyle w:val="Kop1"/>
        <w:ind w:left="-5"/>
      </w:pPr>
      <w:r>
        <w:t xml:space="preserve">Geestelijke verzorging en Kamer van Koophandel </w:t>
      </w:r>
    </w:p>
    <w:p w14:paraId="78EED833" w14:textId="4A9D1F5F" w:rsidR="00E733D2" w:rsidRDefault="00B66AFF">
      <w:pPr>
        <w:spacing w:after="30"/>
        <w:ind w:left="-5"/>
      </w:pPr>
      <w:r>
        <w:t xml:space="preserve">De geestelijk verzorger Thuis functioneert in veel gevallen als zelfstandig ondernemer en moet in dat geval aan wettelijke kaders voldoen. Deze moet ingeschreven zijn bij de KvK, en er worden in het kader van de belastingwetgeving eisen gesteld aan de administratie. </w:t>
      </w:r>
    </w:p>
    <w:p w14:paraId="7DE91755" w14:textId="77777777" w:rsidR="00E733D2" w:rsidRDefault="00B66AFF">
      <w:pPr>
        <w:spacing w:after="0" w:line="259" w:lineRule="auto"/>
        <w:ind w:left="0" w:firstLine="0"/>
      </w:pPr>
      <w:r>
        <w:rPr>
          <w:color w:val="2E74B5"/>
          <w:sz w:val="26"/>
        </w:rPr>
        <w:t xml:space="preserve"> </w:t>
      </w:r>
    </w:p>
    <w:p w14:paraId="72310CFD" w14:textId="77777777" w:rsidR="00E733D2" w:rsidRDefault="00B66AFF">
      <w:pPr>
        <w:pStyle w:val="Kop1"/>
        <w:ind w:left="-5"/>
      </w:pPr>
      <w:r>
        <w:t xml:space="preserve">Beroepsaansprakelijkheidsverzekering </w:t>
      </w:r>
    </w:p>
    <w:p w14:paraId="4A099F13" w14:textId="5A934C43" w:rsidR="00C433A2" w:rsidRPr="00C433A2" w:rsidRDefault="00B66AFF" w:rsidP="00C433A2">
      <w:r>
        <w:t xml:space="preserve">Een BAV (beroepsaansprakelijkheidsverzekering) is </w:t>
      </w:r>
      <w:r w:rsidR="00360811" w:rsidRPr="00360811">
        <w:t xml:space="preserve">aan te bevelen voor geestelijk verzorgers die lid zijn van de VGVZ </w:t>
      </w:r>
      <w:r w:rsidR="00B51D05">
        <w:t xml:space="preserve">en </w:t>
      </w:r>
      <w:r>
        <w:t xml:space="preserve">verplicht voor alle NVPA-leden, waar verschillende geestelijk verzorgers bij zijn </w:t>
      </w:r>
      <w:r>
        <w:lastRenderedPageBreak/>
        <w:t xml:space="preserve">ingeschreven. </w:t>
      </w:r>
      <w:r w:rsidR="00B51D05">
        <w:t>De VGVZ heeft net als de NVPA voor haar leden een collectief beschikbaar</w:t>
      </w:r>
      <w:r w:rsidR="00C433A2">
        <w:t>: de a</w:t>
      </w:r>
      <w:r w:rsidR="00C433A2" w:rsidRPr="00C433A2">
        <w:t>ansprakelijkheidsverzekering voor bedrijven en beroepen</w:t>
      </w:r>
      <w:r w:rsidR="00C433A2">
        <w:t xml:space="preserve"> van MS </w:t>
      </w:r>
      <w:proofErr w:type="spellStart"/>
      <w:r w:rsidR="00C433A2">
        <w:t>Amlin</w:t>
      </w:r>
      <w:proofErr w:type="spellEnd"/>
      <w:r w:rsidR="00C433A2">
        <w:t>.</w:t>
      </w:r>
    </w:p>
    <w:p w14:paraId="3CC9E193" w14:textId="3F6000CD" w:rsidR="00B51D05" w:rsidRDefault="00B51D05" w:rsidP="00B51D05">
      <w:pPr>
        <w:ind w:left="-5"/>
      </w:pPr>
      <w:r>
        <w:t xml:space="preserve">Leden van de VGVZ kunnen aansluiten bij het collectief via </w:t>
      </w:r>
      <w:hyperlink r:id="rId9" w:history="1">
        <w:r w:rsidRPr="00B51D05">
          <w:rPr>
            <w:rStyle w:val="Hyperlink"/>
          </w:rPr>
          <w:t>www.dba-advies.nl/vgvz</w:t>
        </w:r>
      </w:hyperlink>
      <w:r>
        <w:t xml:space="preserve">, NVPA leden via </w:t>
      </w:r>
      <w:hyperlink r:id="rId10" w:history="1">
        <w:r w:rsidRPr="000A7929">
          <w:rPr>
            <w:rStyle w:val="Hyperlink"/>
          </w:rPr>
          <w:t>www.dba-advies.nl/nvpa</w:t>
        </w:r>
      </w:hyperlink>
      <w:r>
        <w:t>. Deze verzekeringen zijn</w:t>
      </w:r>
      <w:r w:rsidR="00B66AFF">
        <w:t xml:space="preserve"> WKKGZ-</w:t>
      </w:r>
      <w:proofErr w:type="spellStart"/>
      <w:r w:rsidR="00B66AFF">
        <w:t>proof</w:t>
      </w:r>
      <w:proofErr w:type="spellEnd"/>
      <w:r w:rsidR="00B66AFF">
        <w:t>.</w:t>
      </w:r>
      <w:r>
        <w:t xml:space="preserve"> </w:t>
      </w:r>
      <w:r w:rsidR="00C433A2">
        <w:t>Het collectief kan ook een bedrijfsrechtsbijstandverzekering bevatten voor wie wil.</w:t>
      </w:r>
    </w:p>
    <w:p w14:paraId="493C5CE5" w14:textId="77777777" w:rsidR="00B51D05" w:rsidRDefault="00B51D05" w:rsidP="00B51D05">
      <w:pPr>
        <w:ind w:left="-5"/>
      </w:pPr>
    </w:p>
    <w:p w14:paraId="1494BCEA" w14:textId="77777777" w:rsidR="00C433A2" w:rsidRDefault="00C433A2" w:rsidP="00C433A2">
      <w:pPr>
        <w:ind w:left="-5"/>
      </w:pPr>
      <w:r>
        <w:t>In d</w:t>
      </w:r>
      <w:r w:rsidR="00B66AFF">
        <w:t>e polisvoorwaarden wordt gesproken over:</w:t>
      </w:r>
    </w:p>
    <w:p w14:paraId="1C2075B7" w14:textId="29F7701C" w:rsidR="00E733D2" w:rsidRDefault="00B66AFF" w:rsidP="00C433A2">
      <w:pPr>
        <w:pStyle w:val="Lijstalinea"/>
        <w:numPr>
          <w:ilvl w:val="0"/>
          <w:numId w:val="2"/>
        </w:numPr>
      </w:pPr>
      <w:r>
        <w:t>Schade aan personen (artikel 1.</w:t>
      </w:r>
      <w:r w:rsidR="00C433A2">
        <w:t>3</w:t>
      </w:r>
      <w:r>
        <w:t xml:space="preserve">.1) </w:t>
      </w:r>
    </w:p>
    <w:p w14:paraId="2450AC92" w14:textId="4DF458EB" w:rsidR="00E733D2" w:rsidRDefault="00C433A2" w:rsidP="00C433A2">
      <w:pPr>
        <w:pStyle w:val="Lijstalinea"/>
        <w:numPr>
          <w:ilvl w:val="0"/>
          <w:numId w:val="2"/>
        </w:numPr>
      </w:pPr>
      <w:r>
        <w:t>S</w:t>
      </w:r>
      <w:r w:rsidR="00B66AFF">
        <w:t>chade aan zaken (artikel 1.</w:t>
      </w:r>
      <w:r>
        <w:t>3</w:t>
      </w:r>
      <w:r w:rsidR="00B66AFF">
        <w:t xml:space="preserve">.2) </w:t>
      </w:r>
    </w:p>
    <w:p w14:paraId="45F934A1" w14:textId="3C2BE32C" w:rsidR="00E733D2" w:rsidRDefault="00B66AFF" w:rsidP="00C433A2">
      <w:pPr>
        <w:pStyle w:val="Lijstalinea"/>
        <w:numPr>
          <w:ilvl w:val="0"/>
          <w:numId w:val="2"/>
        </w:numPr>
      </w:pPr>
      <w:r>
        <w:t>Directe vermogensschade (artikel 1.</w:t>
      </w:r>
      <w:r w:rsidR="00C433A2">
        <w:t>3.2.1 en 1.3.2.2</w:t>
      </w:r>
      <w:r>
        <w:t xml:space="preserve">) </w:t>
      </w:r>
    </w:p>
    <w:p w14:paraId="6036AF95" w14:textId="43D487FA" w:rsidR="00E733D2" w:rsidRDefault="00B66AFF">
      <w:pPr>
        <w:ind w:left="-5"/>
      </w:pPr>
      <w:r>
        <w:t xml:space="preserve">De eerste twee schades zijn normaal gesproken verzekerd met een </w:t>
      </w:r>
      <w:r w:rsidR="00C433A2" w:rsidRPr="00C433A2">
        <w:rPr>
          <w:i/>
          <w:iCs/>
        </w:rPr>
        <w:t>b</w:t>
      </w:r>
      <w:r w:rsidRPr="00C433A2">
        <w:rPr>
          <w:i/>
          <w:iCs/>
        </w:rPr>
        <w:t>edrijfs</w:t>
      </w:r>
      <w:r>
        <w:t xml:space="preserve">aansprakelijkheidsverzekering en de </w:t>
      </w:r>
      <w:r w:rsidR="00C433A2">
        <w:t>laatstgenoemde</w:t>
      </w:r>
      <w:r>
        <w:t xml:space="preserve"> schade met de </w:t>
      </w:r>
      <w:r w:rsidR="00C433A2" w:rsidRPr="00C433A2">
        <w:rPr>
          <w:i/>
          <w:iCs/>
        </w:rPr>
        <w:t>b</w:t>
      </w:r>
      <w:r w:rsidRPr="00C433A2">
        <w:rPr>
          <w:i/>
          <w:iCs/>
        </w:rPr>
        <w:t>eroeps</w:t>
      </w:r>
      <w:r>
        <w:t xml:space="preserve">aansprakelijkheidsverzekering. </w:t>
      </w:r>
      <w:r w:rsidR="00C433A2">
        <w:t xml:space="preserve">MS </w:t>
      </w:r>
      <w:proofErr w:type="spellStart"/>
      <w:r w:rsidR="00C433A2">
        <w:t>Amlin</w:t>
      </w:r>
      <w:proofErr w:type="spellEnd"/>
      <w:r w:rsidR="00C433A2">
        <w:t xml:space="preserve"> heeft</w:t>
      </w:r>
      <w:r>
        <w:t xml:space="preserve"> beide verzekeringen gecombineerd op één polis, oftewel de dekking van de </w:t>
      </w:r>
      <w:r w:rsidR="00F45F45">
        <w:t>b</w:t>
      </w:r>
      <w:r>
        <w:t xml:space="preserve">edrijfsaansprakelijkheidsverzekering is uitgebreid met directe vermogensschades (= beroepsaansprakelijkheidsverzekering). </w:t>
      </w:r>
      <w:r w:rsidR="002761D8">
        <w:t xml:space="preserve">Zie de </w:t>
      </w:r>
      <w:hyperlink r:id="rId11" w:history="1">
        <w:r w:rsidR="002761D8" w:rsidRPr="00B51D05">
          <w:rPr>
            <w:rStyle w:val="Hyperlink"/>
          </w:rPr>
          <w:t>www.dba-advies.nl/vgvz</w:t>
        </w:r>
      </w:hyperlink>
      <w:r w:rsidR="002761D8">
        <w:t xml:space="preserve"> voor meer informatie.</w:t>
      </w:r>
    </w:p>
    <w:p w14:paraId="160D9C6F" w14:textId="77777777" w:rsidR="002761D8" w:rsidRDefault="002761D8" w:rsidP="002761D8">
      <w:pPr>
        <w:ind w:left="-5"/>
      </w:pPr>
    </w:p>
    <w:p w14:paraId="45DF34E3" w14:textId="068ACE00" w:rsidR="002761D8" w:rsidRDefault="002761D8" w:rsidP="002761D8">
      <w:pPr>
        <w:ind w:left="-5"/>
      </w:pPr>
      <w:r>
        <w:t>Geestelijk verzorgers in de thuissituatie kunnen ook zelf een bedrijfsaansprakelijkheidsverzekering afsluiten maar zullen dan soms de categorie maatschappelijk werk moeten invullen als de optie geestelijke verzorging niet gegeven wordt.</w:t>
      </w:r>
    </w:p>
    <w:p w14:paraId="1EFCD018" w14:textId="1D9E49BB" w:rsidR="002761D8" w:rsidRDefault="002761D8" w:rsidP="002761D8">
      <w:pPr>
        <w:ind w:left="-5"/>
      </w:pPr>
      <w:r>
        <w:t xml:space="preserve">Je hebt als zelfstandig geestelijk verzorger een goedgekeurde BAV nodig om je in te schrijven bij een door het ministerie van VWS erkende geschillencommissie (WKKGZ-verplichting). Zie ook: </w:t>
      </w:r>
      <w:r w:rsidRPr="002761D8">
        <w:rPr>
          <w:color w:val="0463C2"/>
        </w:rPr>
        <w:t>https://www.rijksoverheid.nl/documenten/brochures/2016/12/23/val-ik-onder-de-wet-kwaliteit-klachten-en-geschillen-zorg</w:t>
      </w:r>
      <w:r>
        <w:rPr>
          <w:color w:val="0463C2"/>
        </w:rPr>
        <w:t>.</w:t>
      </w:r>
    </w:p>
    <w:p w14:paraId="63C7E436" w14:textId="77777777" w:rsidR="002761D8" w:rsidRDefault="002761D8" w:rsidP="002761D8">
      <w:pPr>
        <w:spacing w:after="0" w:line="259" w:lineRule="auto"/>
        <w:ind w:left="0" w:firstLine="0"/>
      </w:pPr>
      <w:r>
        <w:t xml:space="preserve"> </w:t>
      </w:r>
    </w:p>
    <w:p w14:paraId="7385F1EF" w14:textId="77777777" w:rsidR="00E733D2" w:rsidRDefault="00B66AFF">
      <w:pPr>
        <w:pStyle w:val="Kop1"/>
        <w:ind w:left="-5"/>
      </w:pPr>
      <w:r>
        <w:t xml:space="preserve">Geestelijke Verzorging en AGB-code </w:t>
      </w:r>
    </w:p>
    <w:p w14:paraId="749F5D59" w14:textId="37576445" w:rsidR="00E733D2" w:rsidRDefault="00B66AFF">
      <w:pPr>
        <w:ind w:left="-5"/>
      </w:pPr>
      <w:r>
        <w:t xml:space="preserve">Het is geen wettelijke verplichting om als zelfstandig geestelijk verzorger een </w:t>
      </w:r>
      <w:r w:rsidR="00F45F45">
        <w:t>AGB-code</w:t>
      </w:r>
      <w:r>
        <w:t xml:space="preserve"> te bezitten. Om deel te nemen aan de subsidieregeling Geestelijke Verzorging in de thuissituatie is een </w:t>
      </w:r>
      <w:r w:rsidR="00F45F45">
        <w:t>AGB-code</w:t>
      </w:r>
      <w:r>
        <w:t xml:space="preserve"> niet nodig. </w:t>
      </w:r>
    </w:p>
    <w:p w14:paraId="20CD2588" w14:textId="78F10128" w:rsidR="00E733D2" w:rsidRDefault="00B66AFF">
      <w:pPr>
        <w:ind w:left="-5"/>
      </w:pPr>
      <w:r>
        <w:t xml:space="preserve">Voor consulten die buiten de subsidieregeling vallen geldt het volgende: Om in aanmerking te komen voor vergoeding aan uw </w:t>
      </w:r>
      <w:r w:rsidR="00F45F45">
        <w:t>cliënt</w:t>
      </w:r>
      <w:r>
        <w:t xml:space="preserve"> bij een zorgverzekeraar is een AGB code voor de zorgverlener noodzakelijk. </w:t>
      </w:r>
    </w:p>
    <w:p w14:paraId="7925922B" w14:textId="77777777" w:rsidR="00E733D2" w:rsidRDefault="00B66AFF">
      <w:pPr>
        <w:ind w:left="-5"/>
      </w:pPr>
      <w:r>
        <w:t xml:space="preserve">Via de onderstaande link kunt u de nodige informatie over de AGB-code vinden. </w:t>
      </w:r>
    </w:p>
    <w:p w14:paraId="31656B91" w14:textId="77777777" w:rsidR="00E733D2" w:rsidRDefault="00B66AFF">
      <w:pPr>
        <w:ind w:left="-5"/>
      </w:pPr>
      <w:r>
        <w:rPr>
          <w:color w:val="0463C2"/>
        </w:rPr>
        <w:t xml:space="preserve">https://www.agbcode.nl/Bestanden/PDF/Vraagenantwoord.pdf </w:t>
      </w:r>
    </w:p>
    <w:p w14:paraId="1ADC5B8A" w14:textId="77777777" w:rsidR="00E733D2" w:rsidRDefault="00B66AFF">
      <w:pPr>
        <w:ind w:left="-5"/>
      </w:pPr>
      <w:r>
        <w:t xml:space="preserve">Via de onderstaande link kunt u uw eigen AGB-code (mits u die aangevraagd heeft!) opzoeken: </w:t>
      </w:r>
    </w:p>
    <w:p w14:paraId="08043D12" w14:textId="51E43A16" w:rsidR="00F45F45" w:rsidRDefault="00000000">
      <w:pPr>
        <w:ind w:left="-5" w:right="4628"/>
        <w:rPr>
          <w:color w:val="0463C2"/>
        </w:rPr>
      </w:pPr>
      <w:hyperlink r:id="rId12" w:history="1">
        <w:r w:rsidR="00F45F45" w:rsidRPr="000A7929">
          <w:rPr>
            <w:rStyle w:val="Hyperlink"/>
          </w:rPr>
          <w:t>https://www.agbcode.nl/Webzoeker/Zoeken</w:t>
        </w:r>
      </w:hyperlink>
    </w:p>
    <w:p w14:paraId="12B08A03" w14:textId="62E861FE" w:rsidR="00E733D2" w:rsidRDefault="00B66AFF">
      <w:pPr>
        <w:ind w:left="-5" w:right="4628"/>
      </w:pPr>
      <w:r>
        <w:rPr>
          <w:b/>
        </w:rPr>
        <w:t xml:space="preserve">Het aanvragen van een AGB-code: </w:t>
      </w:r>
    </w:p>
    <w:p w14:paraId="19AB5681" w14:textId="77777777" w:rsidR="00E733D2" w:rsidRDefault="00B66AFF">
      <w:pPr>
        <w:ind w:left="-5"/>
      </w:pPr>
      <w:r>
        <w:t xml:space="preserve">Via onderstaande link kunt u een bezoek brengen aan de speciale AGB-website waar u een AGB-code voor uzelf kunt aanvragen </w:t>
      </w:r>
    </w:p>
    <w:p w14:paraId="5D225C4B" w14:textId="77777777" w:rsidR="00E733D2" w:rsidRDefault="00B66AFF">
      <w:pPr>
        <w:ind w:left="-5"/>
      </w:pPr>
      <w:r>
        <w:rPr>
          <w:rFonts w:ascii="Arial" w:eastAsia="Arial" w:hAnsi="Arial" w:cs="Arial"/>
        </w:rPr>
        <w:t xml:space="preserve">• </w:t>
      </w:r>
      <w:r>
        <w:t xml:space="preserve">Algemene website van VEKTIS: </w:t>
      </w:r>
    </w:p>
    <w:p w14:paraId="0A3B8363" w14:textId="77777777" w:rsidR="00E733D2" w:rsidRDefault="00B66AFF">
      <w:pPr>
        <w:ind w:left="-5" w:right="3993"/>
      </w:pPr>
      <w:r>
        <w:t xml:space="preserve">Algemene website van </w:t>
      </w:r>
      <w:proofErr w:type="spellStart"/>
      <w:r>
        <w:t>Vektis</w:t>
      </w:r>
      <w:proofErr w:type="spellEnd"/>
      <w:r>
        <w:t xml:space="preserve">: </w:t>
      </w:r>
      <w:r>
        <w:rPr>
          <w:color w:val="0463C2"/>
        </w:rPr>
        <w:t xml:space="preserve">https://www.agbcode.nl </w:t>
      </w:r>
      <w:r>
        <w:rPr>
          <w:rFonts w:ascii="Arial" w:eastAsia="Arial" w:hAnsi="Arial" w:cs="Arial"/>
        </w:rPr>
        <w:t xml:space="preserve">• </w:t>
      </w:r>
      <w:r>
        <w:t xml:space="preserve">Aanvraagwebsite van VEKTIS: </w:t>
      </w:r>
    </w:p>
    <w:p w14:paraId="282C3426" w14:textId="7FCA9A87" w:rsidR="00E733D2" w:rsidRDefault="00B66AFF">
      <w:pPr>
        <w:ind w:left="-5"/>
        <w:rPr>
          <w:color w:val="0463C2"/>
        </w:rPr>
      </w:pPr>
      <w:r>
        <w:t xml:space="preserve">Aanvraag AGB-code: </w:t>
      </w:r>
      <w:hyperlink r:id="rId13" w:history="1">
        <w:r w:rsidR="00353D93" w:rsidRPr="004B6126">
          <w:rPr>
            <w:rStyle w:val="Hyperlink"/>
          </w:rPr>
          <w:t>https://www.agbcode.nl/AanvraagZorgverlener/Create</w:t>
        </w:r>
      </w:hyperlink>
    </w:p>
    <w:p w14:paraId="526B04C6" w14:textId="1A97242E" w:rsidR="00353D93" w:rsidRDefault="00353D93">
      <w:pPr>
        <w:ind w:left="-5"/>
        <w:rPr>
          <w:color w:val="0463C2"/>
        </w:rPr>
      </w:pPr>
    </w:p>
    <w:p w14:paraId="3353CB5C" w14:textId="234C4435" w:rsidR="00353D93" w:rsidRDefault="00353D93" w:rsidP="00353D93">
      <w:pPr>
        <w:pStyle w:val="Kop1"/>
        <w:ind w:left="-5"/>
      </w:pPr>
      <w:proofErr w:type="spellStart"/>
      <w:r w:rsidRPr="00353D93">
        <w:t>WTZa</w:t>
      </w:r>
      <w:proofErr w:type="spellEnd"/>
    </w:p>
    <w:p w14:paraId="3FE16671" w14:textId="747A8F8E" w:rsidR="00353D93" w:rsidRPr="00353D93" w:rsidRDefault="00353D93" w:rsidP="00353D93">
      <w:pPr>
        <w:rPr>
          <w:lang w:bidi="ar-SA"/>
        </w:rPr>
      </w:pPr>
      <w:r>
        <w:rPr>
          <w:lang w:bidi="ar-SA"/>
        </w:rPr>
        <w:t xml:space="preserve">Moet is als geestelijk verzorger een </w:t>
      </w:r>
      <w:proofErr w:type="spellStart"/>
      <w:r>
        <w:rPr>
          <w:lang w:bidi="ar-SA"/>
        </w:rPr>
        <w:t>WTZa</w:t>
      </w:r>
      <w:proofErr w:type="spellEnd"/>
      <w:r>
        <w:rPr>
          <w:lang w:bidi="ar-SA"/>
        </w:rPr>
        <w:t xml:space="preserve">-toelating hebben? Nee, een geestelijk verzorger die niet in loondienst werkt maar als zzp’er, aangesloten bij een Centrum voor Levensvragen, is geen </w:t>
      </w:r>
      <w:r>
        <w:rPr>
          <w:lang w:bidi="ar-SA"/>
        </w:rPr>
        <w:lastRenderedPageBreak/>
        <w:t xml:space="preserve">zorgverlener zoals bedoeld in de </w:t>
      </w:r>
      <w:proofErr w:type="spellStart"/>
      <w:r>
        <w:rPr>
          <w:lang w:bidi="ar-SA"/>
        </w:rPr>
        <w:t>WTZa</w:t>
      </w:r>
      <w:proofErr w:type="spellEnd"/>
      <w:r>
        <w:rPr>
          <w:lang w:bidi="ar-SA"/>
        </w:rPr>
        <w:t>. Toezicht, tucht en kwaliteitsets zijn geregeld via de VGVZ en de SKGV.</w:t>
      </w:r>
    </w:p>
    <w:p w14:paraId="6D051EFE" w14:textId="77777777" w:rsidR="00B66AFF" w:rsidRDefault="00B66AFF">
      <w:pPr>
        <w:spacing w:after="0" w:line="259" w:lineRule="auto"/>
        <w:ind w:left="0" w:firstLine="0"/>
        <w:rPr>
          <w:sz w:val="16"/>
        </w:rPr>
      </w:pPr>
    </w:p>
    <w:p w14:paraId="42D95EB6" w14:textId="487A966C" w:rsidR="00E733D2" w:rsidRDefault="00B66AFF">
      <w:pPr>
        <w:spacing w:after="0" w:line="259" w:lineRule="auto"/>
        <w:ind w:left="0" w:firstLine="0"/>
      </w:pPr>
      <w:r>
        <w:rPr>
          <w:sz w:val="16"/>
        </w:rPr>
        <w:t>2</w:t>
      </w:r>
      <w:r w:rsidR="00F150EB">
        <w:rPr>
          <w:sz w:val="16"/>
        </w:rPr>
        <w:t>2</w:t>
      </w:r>
      <w:r>
        <w:rPr>
          <w:sz w:val="16"/>
        </w:rPr>
        <w:t>08</w:t>
      </w:r>
      <w:r w:rsidR="00F150EB">
        <w:rPr>
          <w:sz w:val="16"/>
        </w:rPr>
        <w:t>02</w:t>
      </w:r>
      <w:r>
        <w:rPr>
          <w:sz w:val="16"/>
        </w:rPr>
        <w:t>/</w:t>
      </w:r>
      <w:proofErr w:type="spellStart"/>
      <w:r>
        <w:rPr>
          <w:sz w:val="16"/>
        </w:rPr>
        <w:t>rs</w:t>
      </w:r>
      <w:proofErr w:type="spellEnd"/>
    </w:p>
    <w:sectPr w:rsidR="00E733D2">
      <w:pgSz w:w="11906" w:h="16838"/>
      <w:pgMar w:top="1459" w:right="1442" w:bottom="152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aford">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0F8"/>
    <w:multiLevelType w:val="hybridMultilevel"/>
    <w:tmpl w:val="50C2B992"/>
    <w:lvl w:ilvl="0" w:tplc="BB9E1F1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660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AEB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227E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485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FE008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E21D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F2A4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9E11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D016F5"/>
    <w:multiLevelType w:val="hybridMultilevel"/>
    <w:tmpl w:val="BB46E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8545342">
    <w:abstractNumId w:val="0"/>
  </w:num>
  <w:num w:numId="2" w16cid:durableId="97795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D2"/>
    <w:rsid w:val="002761D8"/>
    <w:rsid w:val="00353D93"/>
    <w:rsid w:val="00360811"/>
    <w:rsid w:val="004C2EAA"/>
    <w:rsid w:val="007C6F3D"/>
    <w:rsid w:val="00885174"/>
    <w:rsid w:val="00B51D05"/>
    <w:rsid w:val="00B66AFF"/>
    <w:rsid w:val="00C433A2"/>
    <w:rsid w:val="00E733D2"/>
    <w:rsid w:val="00F150EB"/>
    <w:rsid w:val="00F45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8B23"/>
  <w15:docId w15:val="{B4765503-1625-3C4B-BC91-B3C4BE5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sz w:val="22"/>
      <w:lang w:bidi="nl-NL"/>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color w:val="2E74B5"/>
      <w:sz w:val="26"/>
    </w:rPr>
  </w:style>
  <w:style w:type="paragraph" w:styleId="Kop4">
    <w:name w:val="heading 4"/>
    <w:basedOn w:val="Standaard"/>
    <w:next w:val="Standaard"/>
    <w:link w:val="Kop4Char"/>
    <w:uiPriority w:val="9"/>
    <w:semiHidden/>
    <w:unhideWhenUsed/>
    <w:qFormat/>
    <w:rsid w:val="00B66A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2E74B5"/>
      <w:sz w:val="26"/>
    </w:rPr>
  </w:style>
  <w:style w:type="character" w:styleId="Hyperlink">
    <w:name w:val="Hyperlink"/>
    <w:basedOn w:val="Standaardalinea-lettertype"/>
    <w:uiPriority w:val="99"/>
    <w:unhideWhenUsed/>
    <w:rsid w:val="007C6F3D"/>
    <w:rPr>
      <w:color w:val="0563C1" w:themeColor="hyperlink"/>
      <w:u w:val="single"/>
    </w:rPr>
  </w:style>
  <w:style w:type="character" w:styleId="Onopgelostemelding">
    <w:name w:val="Unresolved Mention"/>
    <w:basedOn w:val="Standaardalinea-lettertype"/>
    <w:uiPriority w:val="99"/>
    <w:semiHidden/>
    <w:unhideWhenUsed/>
    <w:rsid w:val="007C6F3D"/>
    <w:rPr>
      <w:color w:val="605E5C"/>
      <w:shd w:val="clear" w:color="auto" w:fill="E1DFDD"/>
    </w:rPr>
  </w:style>
  <w:style w:type="character" w:styleId="GevolgdeHyperlink">
    <w:name w:val="FollowedHyperlink"/>
    <w:basedOn w:val="Standaardalinea-lettertype"/>
    <w:uiPriority w:val="99"/>
    <w:semiHidden/>
    <w:unhideWhenUsed/>
    <w:rsid w:val="007C6F3D"/>
    <w:rPr>
      <w:color w:val="954F72" w:themeColor="followedHyperlink"/>
      <w:u w:val="single"/>
    </w:rPr>
  </w:style>
  <w:style w:type="character" w:customStyle="1" w:styleId="Kop4Char">
    <w:name w:val="Kop 4 Char"/>
    <w:basedOn w:val="Standaardalinea-lettertype"/>
    <w:link w:val="Kop4"/>
    <w:uiPriority w:val="9"/>
    <w:semiHidden/>
    <w:rsid w:val="00B66AFF"/>
    <w:rPr>
      <w:rFonts w:asciiTheme="majorHAnsi" w:eastAsiaTheme="majorEastAsia" w:hAnsiTheme="majorHAnsi" w:cstheme="majorBidi"/>
      <w:i/>
      <w:iCs/>
      <w:color w:val="2F5496" w:themeColor="accent1" w:themeShade="BF"/>
      <w:sz w:val="22"/>
      <w:lang w:bidi="nl-NL"/>
    </w:rPr>
  </w:style>
  <w:style w:type="paragraph" w:styleId="Normaalweb">
    <w:name w:val="Normal (Web)"/>
    <w:basedOn w:val="Standaard"/>
    <w:uiPriority w:val="99"/>
    <w:semiHidden/>
    <w:unhideWhenUsed/>
    <w:rsid w:val="00C433A2"/>
    <w:rPr>
      <w:rFonts w:ascii="Times New Roman" w:hAnsi="Times New Roman" w:cs="Times New Roman"/>
      <w:sz w:val="24"/>
    </w:rPr>
  </w:style>
  <w:style w:type="paragraph" w:styleId="Lijstalinea">
    <w:name w:val="List Paragraph"/>
    <w:basedOn w:val="Standaard"/>
    <w:uiPriority w:val="34"/>
    <w:qFormat/>
    <w:rsid w:val="00C43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1308">
      <w:bodyDiv w:val="1"/>
      <w:marLeft w:val="0"/>
      <w:marRight w:val="0"/>
      <w:marTop w:val="0"/>
      <w:marBottom w:val="0"/>
      <w:divBdr>
        <w:top w:val="none" w:sz="0" w:space="0" w:color="auto"/>
        <w:left w:val="none" w:sz="0" w:space="0" w:color="auto"/>
        <w:bottom w:val="none" w:sz="0" w:space="0" w:color="auto"/>
        <w:right w:val="none" w:sz="0" w:space="0" w:color="auto"/>
      </w:divBdr>
      <w:divsChild>
        <w:div w:id="392626895">
          <w:marLeft w:val="0"/>
          <w:marRight w:val="0"/>
          <w:marTop w:val="60"/>
          <w:marBottom w:val="60"/>
          <w:divBdr>
            <w:top w:val="none" w:sz="0" w:space="0" w:color="auto"/>
            <w:left w:val="none" w:sz="0" w:space="0" w:color="auto"/>
            <w:bottom w:val="none" w:sz="0" w:space="0" w:color="auto"/>
            <w:right w:val="none" w:sz="0" w:space="0" w:color="auto"/>
          </w:divBdr>
        </w:div>
      </w:divsChild>
    </w:div>
    <w:div w:id="281418876">
      <w:bodyDiv w:val="1"/>
      <w:marLeft w:val="0"/>
      <w:marRight w:val="0"/>
      <w:marTop w:val="0"/>
      <w:marBottom w:val="0"/>
      <w:divBdr>
        <w:top w:val="none" w:sz="0" w:space="0" w:color="auto"/>
        <w:left w:val="none" w:sz="0" w:space="0" w:color="auto"/>
        <w:bottom w:val="none" w:sz="0" w:space="0" w:color="auto"/>
        <w:right w:val="none" w:sz="0" w:space="0" w:color="auto"/>
      </w:divBdr>
      <w:divsChild>
        <w:div w:id="401373867">
          <w:marLeft w:val="0"/>
          <w:marRight w:val="0"/>
          <w:marTop w:val="0"/>
          <w:marBottom w:val="0"/>
          <w:divBdr>
            <w:top w:val="none" w:sz="0" w:space="0" w:color="auto"/>
            <w:left w:val="none" w:sz="0" w:space="0" w:color="auto"/>
            <w:bottom w:val="none" w:sz="0" w:space="0" w:color="auto"/>
            <w:right w:val="none" w:sz="0" w:space="0" w:color="auto"/>
          </w:divBdr>
          <w:divsChild>
            <w:div w:id="888027694">
              <w:marLeft w:val="0"/>
              <w:marRight w:val="0"/>
              <w:marTop w:val="0"/>
              <w:marBottom w:val="0"/>
              <w:divBdr>
                <w:top w:val="none" w:sz="0" w:space="0" w:color="auto"/>
                <w:left w:val="none" w:sz="0" w:space="0" w:color="auto"/>
                <w:bottom w:val="none" w:sz="0" w:space="0" w:color="auto"/>
                <w:right w:val="none" w:sz="0" w:space="0" w:color="auto"/>
              </w:divBdr>
              <w:divsChild>
                <w:div w:id="7675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40940/2021-07-01" TargetMode="External"/><Relationship Id="rId13" Type="http://schemas.openxmlformats.org/officeDocument/2006/relationships/hyperlink" Target="https://www.agbcode.nl/AanvraagZorgverlener/Create" TargetMode="External"/><Relationship Id="rId3" Type="http://schemas.openxmlformats.org/officeDocument/2006/relationships/settings" Target="settings.xml"/><Relationship Id="rId7" Type="http://schemas.openxmlformats.org/officeDocument/2006/relationships/hyperlink" Target="https://vgvz.nl/wp-content/uploads/2018/07/Beroepsstandaard-2015.pdf" TargetMode="External"/><Relationship Id="rId12" Type="http://schemas.openxmlformats.org/officeDocument/2006/relationships/hyperlink" Target="https://www.agbcode.nl/Webzoeker/Zoe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r.nl/binaries/wrr/documenten/verkenningen/2006/12/19/geloven-in-het-publiek-domein-verkenningen-van-een-dubbele-transformatie---13/V013-Geloven-publieke-domein.pdf" TargetMode="External"/><Relationship Id="rId11" Type="http://schemas.openxmlformats.org/officeDocument/2006/relationships/hyperlink" Target="https://dba-advies.nl/vgvz" TargetMode="External"/><Relationship Id="rId5" Type="http://schemas.openxmlformats.org/officeDocument/2006/relationships/hyperlink" Target="https://wetten.overheid.nl/BWBR0001840/2018-12-21" TargetMode="External"/><Relationship Id="rId15" Type="http://schemas.openxmlformats.org/officeDocument/2006/relationships/theme" Target="theme/theme1.xml"/><Relationship Id="rId10" Type="http://schemas.openxmlformats.org/officeDocument/2006/relationships/hyperlink" Target="http://www.dba-advies.nl/nvpa" TargetMode="External"/><Relationship Id="rId4" Type="http://schemas.openxmlformats.org/officeDocument/2006/relationships/webSettings" Target="webSettings.xml"/><Relationship Id="rId9" Type="http://schemas.openxmlformats.org/officeDocument/2006/relationships/hyperlink" Target="https://dba-advies.nl/vgvz"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van der Veur</dc:creator>
  <cp:keywords/>
  <cp:lastModifiedBy>Rozanne van der Veur</cp:lastModifiedBy>
  <cp:revision>5</cp:revision>
  <dcterms:created xsi:type="dcterms:W3CDTF">2022-08-02T13:23:00Z</dcterms:created>
  <dcterms:modified xsi:type="dcterms:W3CDTF">2022-11-23T10:23:00Z</dcterms:modified>
</cp:coreProperties>
</file>